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1A1E" w14:textId="44349038" w:rsidR="00A44A0C" w:rsidRPr="00A44A0C" w:rsidRDefault="00A44A0C" w:rsidP="003E69A7">
      <w:pPr>
        <w:jc w:val="both"/>
        <w:rPr>
          <w:b/>
          <w:bCs/>
          <w:sz w:val="22"/>
          <w:szCs w:val="22"/>
        </w:rPr>
      </w:pPr>
      <w:r w:rsidRPr="00A44A0C">
        <w:rPr>
          <w:b/>
          <w:bCs/>
          <w:sz w:val="22"/>
          <w:szCs w:val="22"/>
        </w:rPr>
        <w:t>2</w:t>
      </w:r>
      <w:r w:rsidRPr="00A44A0C">
        <w:rPr>
          <w:b/>
          <w:bCs/>
          <w:sz w:val="22"/>
          <w:szCs w:val="22"/>
          <w:vertAlign w:val="superscript"/>
        </w:rPr>
        <w:t>ο</w:t>
      </w:r>
      <w:r w:rsidRPr="00A44A0C">
        <w:rPr>
          <w:b/>
          <w:bCs/>
          <w:sz w:val="22"/>
          <w:szCs w:val="22"/>
        </w:rPr>
        <w:t xml:space="preserve"> ΓΥΜΝΑΣΙΟ ΚΑΛΥΒΙΩΝ                                                                                                ΣΧΟΛΙΚΟ ΕΤΟΣ 2022-23</w:t>
      </w:r>
    </w:p>
    <w:p w14:paraId="6C7FDA9F" w14:textId="77777777" w:rsidR="00A44A0C" w:rsidRPr="00A44A0C" w:rsidRDefault="00A44A0C" w:rsidP="003E69A7">
      <w:pPr>
        <w:jc w:val="center"/>
        <w:rPr>
          <w:b/>
          <w:bCs/>
          <w:sz w:val="22"/>
          <w:szCs w:val="22"/>
        </w:rPr>
      </w:pPr>
      <w:r w:rsidRPr="00A44A0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66B9B" wp14:editId="48BAF000">
                <wp:simplePos x="0" y="0"/>
                <wp:positionH relativeFrom="margin">
                  <wp:align>center</wp:align>
                </wp:positionH>
                <wp:positionV relativeFrom="paragraph">
                  <wp:posOffset>57262</wp:posOffset>
                </wp:positionV>
                <wp:extent cx="3429000" cy="318135"/>
                <wp:effectExtent l="0" t="0" r="19050" b="2476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2E847" w14:textId="77777777" w:rsidR="00A44A0C" w:rsidRPr="00A44A0C" w:rsidRDefault="00A44A0C" w:rsidP="00A44A0C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44A0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Εξεταστέα Ύλη περιόδου Ιουνίου 2023</w:t>
                            </w:r>
                          </w:p>
                          <w:p w14:paraId="1755DCF0" w14:textId="77777777" w:rsidR="00A44A0C" w:rsidRDefault="00A44A0C" w:rsidP="00A44A0C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09A174" w14:textId="77777777" w:rsidR="00A44A0C" w:rsidRDefault="00A44A0C" w:rsidP="00A44A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66B9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4.5pt;width:270pt;height:2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">
                <v:textbox>
                  <w:txbxContent>
                    <w:p w14:paraId="73C2E847" w14:textId="77777777" w:rsidR="00A44A0C" w:rsidRPr="00A44A0C" w:rsidRDefault="00A44A0C" w:rsidP="00A44A0C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44A0C">
                        <w:rPr>
                          <w:b/>
                          <w:bCs/>
                          <w:sz w:val="22"/>
                          <w:szCs w:val="22"/>
                        </w:rPr>
                        <w:t>Εξεταστέα Ύλη περιόδου Ιουνίου 2023</w:t>
                      </w:r>
                    </w:p>
                    <w:p w14:paraId="1755DCF0" w14:textId="77777777" w:rsidR="00A44A0C" w:rsidRDefault="00A44A0C" w:rsidP="00A44A0C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409A174" w14:textId="77777777" w:rsidR="00A44A0C" w:rsidRDefault="00A44A0C" w:rsidP="00A44A0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FF2EAFC" w14:textId="77777777" w:rsidR="00A44A0C" w:rsidRPr="00A44A0C" w:rsidRDefault="00A44A0C" w:rsidP="003E69A7">
      <w:pPr>
        <w:jc w:val="center"/>
        <w:rPr>
          <w:b/>
          <w:bCs/>
          <w:sz w:val="22"/>
          <w:szCs w:val="22"/>
        </w:rPr>
      </w:pPr>
    </w:p>
    <w:p w14:paraId="766C206E" w14:textId="77777777" w:rsidR="003E69A7" w:rsidRDefault="003E69A7" w:rsidP="003E69A7">
      <w:pPr>
        <w:jc w:val="center"/>
        <w:rPr>
          <w:b/>
          <w:sz w:val="22"/>
          <w:szCs w:val="22"/>
        </w:rPr>
      </w:pPr>
    </w:p>
    <w:p w14:paraId="252DD509" w14:textId="58E2232B" w:rsidR="00A44A0C" w:rsidRDefault="00A44A0C" w:rsidP="003E69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ΤΑΞΗ </w:t>
      </w:r>
      <w:r w:rsidRPr="00A44A0C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Α΄ </w:t>
      </w:r>
    </w:p>
    <w:p w14:paraId="6A528E1D" w14:textId="1792DDB3" w:rsidR="00A44A0C" w:rsidRDefault="00A44A0C" w:rsidP="003E69A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Μάθημα : ΑΡΧΑΙΑ ΕΛΛΗΝΙΚΗ ΓΡΑΜΜΑΤΕΙΑ : ΟΜΗΡΟΥ ΟΔΥΣΣΕΙΑ</w:t>
      </w:r>
    </w:p>
    <w:p w14:paraId="7C22D230" w14:textId="22BEF848" w:rsidR="00A44A0C" w:rsidRPr="003E69A7" w:rsidRDefault="003E69A7" w:rsidP="003E69A7">
      <w:pPr>
        <w:rPr>
          <w:b/>
          <w:bCs/>
          <w:sz w:val="22"/>
          <w:szCs w:val="22"/>
        </w:rPr>
      </w:pPr>
      <w:r w:rsidRPr="003E69A7">
        <w:rPr>
          <w:b/>
          <w:bCs/>
          <w:sz w:val="22"/>
          <w:szCs w:val="22"/>
        </w:rPr>
        <w:t>ΎΛΗ</w:t>
      </w:r>
    </w:p>
    <w:p w14:paraId="71F9DE39" w14:textId="692FD058" w:rsidR="009A2EB7" w:rsidRDefault="00A44A0C">
      <w:r>
        <w:t>Ενότητα 1</w:t>
      </w:r>
      <w:r w:rsidRPr="00A44A0C">
        <w:rPr>
          <w:vertAlign w:val="superscript"/>
        </w:rPr>
        <w:t>η</w:t>
      </w:r>
      <w:r>
        <w:t xml:space="preserve"> :</w:t>
      </w:r>
      <w:r w:rsidR="00BA7A2D">
        <w:t xml:space="preserve"> </w:t>
      </w:r>
      <w:r w:rsidR="00BA7A2D" w:rsidRPr="00BA7A2D">
        <w:rPr>
          <w:b/>
          <w:bCs/>
        </w:rPr>
        <w:t>α 1-25</w:t>
      </w:r>
      <w:r w:rsidR="00BA7A2D">
        <w:t>,</w:t>
      </w:r>
      <w:r>
        <w:t xml:space="preserve"> σελ.17-20</w:t>
      </w:r>
    </w:p>
    <w:p w14:paraId="7596E481" w14:textId="0FA167B6" w:rsidR="00A44A0C" w:rsidRDefault="00A44A0C">
      <w:r>
        <w:t>Ενότητα 2</w:t>
      </w:r>
      <w:r w:rsidRPr="00A44A0C">
        <w:rPr>
          <w:vertAlign w:val="superscript"/>
        </w:rPr>
        <w:t>η</w:t>
      </w:r>
      <w:r>
        <w:t xml:space="preserve"> : </w:t>
      </w:r>
      <w:r w:rsidR="00BA7A2D">
        <w:t xml:space="preserve">σελ. 21 σχόλιο 5, </w:t>
      </w:r>
      <w:r>
        <w:t xml:space="preserve">σελ. </w:t>
      </w:r>
      <w:r w:rsidR="00D73ACD">
        <w:t>24</w:t>
      </w:r>
    </w:p>
    <w:p w14:paraId="2E12765C" w14:textId="6F469B32" w:rsidR="00480F27" w:rsidRDefault="00480F27">
      <w:r>
        <w:t>Ενότητα 3</w:t>
      </w:r>
      <w:r w:rsidRPr="00480F27">
        <w:rPr>
          <w:vertAlign w:val="superscript"/>
        </w:rPr>
        <w:t>η</w:t>
      </w:r>
      <w:r>
        <w:t xml:space="preserve"> : </w:t>
      </w:r>
      <w:r w:rsidR="00BA7A2D" w:rsidRPr="00BA7A2D">
        <w:rPr>
          <w:b/>
          <w:bCs/>
        </w:rPr>
        <w:t>α 109-173</w:t>
      </w:r>
      <w:r w:rsidR="00BA7A2D">
        <w:t xml:space="preserve">, </w:t>
      </w:r>
      <w:r>
        <w:t>σελ. 26-30</w:t>
      </w:r>
    </w:p>
    <w:p w14:paraId="36D74807" w14:textId="2047F33E" w:rsidR="00480F27" w:rsidRPr="00480F27" w:rsidRDefault="00480F27">
      <w:r>
        <w:t>Ενότητα 4</w:t>
      </w:r>
      <w:r>
        <w:rPr>
          <w:vertAlign w:val="superscript"/>
        </w:rPr>
        <w:t xml:space="preserve">η </w:t>
      </w:r>
      <w:r>
        <w:t xml:space="preserve">: σελ. 33 : σχόλιο 7: </w:t>
      </w:r>
      <w:r w:rsidRPr="00480F27">
        <w:rPr>
          <w:i/>
          <w:iCs/>
        </w:rPr>
        <w:t>είμαστε αμοιβαίοι φίλοι</w:t>
      </w:r>
      <w:r>
        <w:t xml:space="preserve">, σελ. 36 : σχόλιο 23 : </w:t>
      </w:r>
      <w:r w:rsidRPr="00480F27">
        <w:rPr>
          <w:i/>
          <w:iCs/>
        </w:rPr>
        <w:t>να σκοτώσεις τους μνηστήρες</w:t>
      </w:r>
      <w:r>
        <w:t>, σελ. 37 : τυπικά στοιχεία, σελ. 38 : Η ειρωνεία</w:t>
      </w:r>
    </w:p>
    <w:p w14:paraId="6AB8F81D" w14:textId="63FDA464" w:rsidR="00D73ACD" w:rsidRDefault="00D73ACD">
      <w:r>
        <w:t>Ενότητα 5</w:t>
      </w:r>
      <w:r w:rsidRPr="00D73ACD">
        <w:rPr>
          <w:vertAlign w:val="superscript"/>
        </w:rPr>
        <w:t>η</w:t>
      </w:r>
      <w:r>
        <w:t xml:space="preserve"> : </w:t>
      </w:r>
      <w:r w:rsidR="00BA7A2D" w:rsidRPr="00BA7A2D">
        <w:rPr>
          <w:b/>
          <w:bCs/>
        </w:rPr>
        <w:t>α 361-497</w:t>
      </w:r>
      <w:r w:rsidR="00BA7A2D">
        <w:t xml:space="preserve">, </w:t>
      </w:r>
      <w:r>
        <w:t>σελ. 39-44</w:t>
      </w:r>
    </w:p>
    <w:p w14:paraId="7DD3126E" w14:textId="6357E7E0" w:rsidR="00480F27" w:rsidRDefault="00480F27">
      <w:r>
        <w:t>Ενότητα 6</w:t>
      </w:r>
      <w:r w:rsidRPr="00480F27">
        <w:rPr>
          <w:vertAlign w:val="superscript"/>
        </w:rPr>
        <w:t>η</w:t>
      </w:r>
      <w:r>
        <w:t xml:space="preserve"> : </w:t>
      </w:r>
      <w:r w:rsidR="007C3457">
        <w:t xml:space="preserve">σελ. 47 : σχόλιο 3 : αναδρομική διήγηση, </w:t>
      </w:r>
      <w:r>
        <w:t>σελ. 50 : Η επιβράδυνση</w:t>
      </w:r>
    </w:p>
    <w:p w14:paraId="1BE45706" w14:textId="179E4BA0" w:rsidR="00480F27" w:rsidRDefault="00480F27">
      <w:r>
        <w:t>Ενότητα 7</w:t>
      </w:r>
      <w:r w:rsidRPr="00480F27">
        <w:rPr>
          <w:vertAlign w:val="superscript"/>
        </w:rPr>
        <w:t>η</w:t>
      </w:r>
      <w:r>
        <w:t xml:space="preserve"> : σελ. 56 : Ο ανθρωποκεντρικός χαρακτήρας της Οδύσσειας</w:t>
      </w:r>
    </w:p>
    <w:p w14:paraId="04FB2D76" w14:textId="0585FBE4" w:rsidR="00D73ACD" w:rsidRDefault="00D73ACD">
      <w:r>
        <w:t xml:space="preserve">Ενότητα </w:t>
      </w:r>
      <w:r w:rsidR="00180C9F">
        <w:t>8</w:t>
      </w:r>
      <w:r w:rsidRPr="00D73ACD">
        <w:rPr>
          <w:vertAlign w:val="superscript"/>
        </w:rPr>
        <w:t>η</w:t>
      </w:r>
      <w:r>
        <w:t xml:space="preserve"> : </w:t>
      </w:r>
      <w:r w:rsidR="00BA7A2D" w:rsidRPr="00BA7A2D">
        <w:rPr>
          <w:b/>
          <w:bCs/>
        </w:rPr>
        <w:t>ε 165-310</w:t>
      </w:r>
      <w:r w:rsidR="00BA7A2D">
        <w:t xml:space="preserve"> </w:t>
      </w:r>
      <w:r>
        <w:t>σελ. 5</w:t>
      </w:r>
      <w:r w:rsidR="00180C9F">
        <w:t>7-62</w:t>
      </w:r>
    </w:p>
    <w:p w14:paraId="4AAED00B" w14:textId="3A0B8AD0" w:rsidR="00D73ACD" w:rsidRPr="000754A0" w:rsidRDefault="00D73ACD">
      <w:r>
        <w:t>Ενότητα 9</w:t>
      </w:r>
      <w:r w:rsidRPr="00D73ACD">
        <w:rPr>
          <w:vertAlign w:val="superscript"/>
        </w:rPr>
        <w:t>η</w:t>
      </w:r>
      <w:r>
        <w:t xml:space="preserve"> : σελ. 67</w:t>
      </w:r>
      <w:r w:rsidR="006E51C0">
        <w:t xml:space="preserve"> : Μονόλογος, παρομοίωση, ανθρωποκεντρισμός</w:t>
      </w:r>
    </w:p>
    <w:p w14:paraId="12F9DB1F" w14:textId="01272F77" w:rsidR="00D73ACD" w:rsidRDefault="00D73ACD">
      <w:r>
        <w:t>Ενότητα 11</w:t>
      </w:r>
      <w:r w:rsidRPr="00D73ACD">
        <w:rPr>
          <w:vertAlign w:val="superscript"/>
        </w:rPr>
        <w:t>η</w:t>
      </w:r>
      <w:r>
        <w:t xml:space="preserve"> : </w:t>
      </w:r>
      <w:r w:rsidR="00BA7A2D" w:rsidRPr="00BA7A2D">
        <w:rPr>
          <w:b/>
          <w:bCs/>
        </w:rPr>
        <w:t>ζ 139-259</w:t>
      </w:r>
      <w:r w:rsidR="00BA7A2D">
        <w:t xml:space="preserve"> </w:t>
      </w:r>
      <w:r>
        <w:t>σελ.73-77 (όχι το παράλληλο κείμενο), 78</w:t>
      </w:r>
    </w:p>
    <w:p w14:paraId="3A8C3377" w14:textId="1F526CB7" w:rsidR="00D73ACD" w:rsidRDefault="00D73ACD">
      <w:r>
        <w:t>Ενότητα 14</w:t>
      </w:r>
      <w:r w:rsidRPr="00D73ACD">
        <w:rPr>
          <w:vertAlign w:val="superscript"/>
        </w:rPr>
        <w:t>η</w:t>
      </w:r>
      <w:r>
        <w:t xml:space="preserve"> : </w:t>
      </w:r>
      <w:r w:rsidR="00BA7A2D" w:rsidRPr="00BA7A2D">
        <w:rPr>
          <w:b/>
          <w:bCs/>
        </w:rPr>
        <w:t>ι 240-512</w:t>
      </w:r>
      <w:r w:rsidR="00BA7A2D">
        <w:t xml:space="preserve"> </w:t>
      </w:r>
      <w:r>
        <w:t>σελ.</w:t>
      </w:r>
      <w:r w:rsidR="00ED188E">
        <w:t xml:space="preserve"> </w:t>
      </w:r>
      <w:r>
        <w:t xml:space="preserve">91-95 </w:t>
      </w:r>
    </w:p>
    <w:p w14:paraId="5F48ED72" w14:textId="1ED167D9" w:rsidR="003E69A7" w:rsidRDefault="003E69A7">
      <w:r>
        <w:t>Ενότητα 15</w:t>
      </w:r>
      <w:r w:rsidRPr="003E69A7">
        <w:rPr>
          <w:vertAlign w:val="superscript"/>
        </w:rPr>
        <w:t>η</w:t>
      </w:r>
      <w:r>
        <w:t xml:space="preserve"> : </w:t>
      </w:r>
      <w:r w:rsidR="00D83F2B">
        <w:t xml:space="preserve">σελ. 99 </w:t>
      </w:r>
      <w:r>
        <w:t>Ανακεφαλαίωση : Ύβρη-Νέμεση-Τίση</w:t>
      </w:r>
    </w:p>
    <w:p w14:paraId="1447D732" w14:textId="271D0CCA" w:rsidR="0046078F" w:rsidRDefault="0046078F">
      <w:r>
        <w:t>Ενότητα 18</w:t>
      </w:r>
      <w:r w:rsidRPr="0046078F">
        <w:rPr>
          <w:vertAlign w:val="superscript"/>
        </w:rPr>
        <w:t>η</w:t>
      </w:r>
      <w:r>
        <w:t xml:space="preserve"> : σελ. 114 Ανακεφαλαίωση : εγκιβωτισμός</w:t>
      </w:r>
    </w:p>
    <w:p w14:paraId="123106C3" w14:textId="49B2500C" w:rsidR="0046078F" w:rsidRDefault="0046078F">
      <w:r>
        <w:t>Ενότητα 19</w:t>
      </w:r>
      <w:r w:rsidRPr="0046078F">
        <w:rPr>
          <w:vertAlign w:val="superscript"/>
        </w:rPr>
        <w:t>η</w:t>
      </w:r>
      <w:r>
        <w:t xml:space="preserve"> : σελ. 119 Ανακεφαλαίωση : αναγνώριση</w:t>
      </w:r>
    </w:p>
    <w:p w14:paraId="0D96C020" w14:textId="41354EA4" w:rsidR="00D73ACD" w:rsidRDefault="00D73ACD">
      <w:r>
        <w:t>Ενότητα 21</w:t>
      </w:r>
      <w:r w:rsidRPr="00D73ACD">
        <w:rPr>
          <w:vertAlign w:val="superscript"/>
        </w:rPr>
        <w:t>η</w:t>
      </w:r>
      <w:r>
        <w:t xml:space="preserve"> : </w:t>
      </w:r>
      <w:r w:rsidR="0046078F">
        <w:t xml:space="preserve">π 1-172 (ανάγνωση) </w:t>
      </w:r>
      <w:r>
        <w:t>σελ. 123-126</w:t>
      </w:r>
    </w:p>
    <w:p w14:paraId="3405A540" w14:textId="3FA2FF83" w:rsidR="00D73ACD" w:rsidRDefault="00D73ACD">
      <w:r>
        <w:t>Ενότητα 22</w:t>
      </w:r>
      <w:r w:rsidRPr="00D73ACD">
        <w:rPr>
          <w:vertAlign w:val="superscript"/>
        </w:rPr>
        <w:t>η</w:t>
      </w:r>
      <w:r>
        <w:t xml:space="preserve"> : </w:t>
      </w:r>
      <w:r w:rsidR="0046078F" w:rsidRPr="0046078F">
        <w:rPr>
          <w:b/>
          <w:bCs/>
        </w:rPr>
        <w:t>π 185-336</w:t>
      </w:r>
      <w:r w:rsidR="0046078F">
        <w:t xml:space="preserve"> </w:t>
      </w:r>
      <w:r>
        <w:t>σελ. 127-130</w:t>
      </w:r>
    </w:p>
    <w:p w14:paraId="226611D6" w14:textId="77777777" w:rsidR="00ED188E" w:rsidRDefault="00ED188E"/>
    <w:p w14:paraId="7EF795FF" w14:textId="7C5CB564" w:rsidR="00ED188E" w:rsidRDefault="003E69A7">
      <w:r>
        <w:t xml:space="preserve">ΟΔΗΓΙΕΣ : </w:t>
      </w:r>
      <w:r w:rsidR="00ED188E">
        <w:t xml:space="preserve">Κατά την επεξεργασία του κειμένου οι μαθητές θα πρέπει να είναι σε θέση </w:t>
      </w:r>
    </w:p>
    <w:p w14:paraId="2E99F9BD" w14:textId="6C48AFDD" w:rsidR="00ED188E" w:rsidRDefault="00ED188E" w:rsidP="00ED188E">
      <w:pPr>
        <w:pStyle w:val="a3"/>
        <w:numPr>
          <w:ilvl w:val="0"/>
          <w:numId w:val="2"/>
        </w:numPr>
      </w:pPr>
      <w:r>
        <w:t>να απαντούν σε ερωτήσεις περιεχομένου που αφορούν στα πρόσωπα, τον χώρο, τον χρόνο, το σκηνικό, το κοινωνικό πλαίσιο, το πρόβλημα που απασχολεί τα πρόσωπα</w:t>
      </w:r>
      <w:r w:rsidR="00B41B51">
        <w:t xml:space="preserve"> και </w:t>
      </w:r>
      <w:r>
        <w:t xml:space="preserve">κατευθύνει τη δράση </w:t>
      </w:r>
      <w:r w:rsidR="0046078F">
        <w:t>τους</w:t>
      </w:r>
      <w:r>
        <w:t xml:space="preserve"> κ.τ.λ., τεκμηριώνοντας την άποψη </w:t>
      </w:r>
      <w:r w:rsidR="0046078F">
        <w:t>τους</w:t>
      </w:r>
      <w:r>
        <w:t xml:space="preserve"> με στοιχεία του κειμένου</w:t>
      </w:r>
    </w:p>
    <w:p w14:paraId="768BC2A1" w14:textId="11FA691A" w:rsidR="00ED188E" w:rsidRDefault="00ED188E" w:rsidP="00ED188E">
      <w:pPr>
        <w:pStyle w:val="a3"/>
        <w:numPr>
          <w:ilvl w:val="0"/>
          <w:numId w:val="2"/>
        </w:numPr>
      </w:pPr>
      <w:r>
        <w:t xml:space="preserve">να </w:t>
      </w:r>
      <w:r w:rsidR="00B41B51">
        <w:t>σκιαγραφούν τα πρόσωπα του έργου</w:t>
      </w:r>
    </w:p>
    <w:p w14:paraId="1F856F79" w14:textId="4E3CB2E1" w:rsidR="00B41B51" w:rsidRDefault="00B41B51" w:rsidP="00ED188E">
      <w:pPr>
        <w:pStyle w:val="a3"/>
        <w:numPr>
          <w:ilvl w:val="0"/>
          <w:numId w:val="2"/>
        </w:numPr>
      </w:pPr>
      <w:r>
        <w:t>να παρουσιάζουν ιδέες</w:t>
      </w:r>
      <w:r w:rsidR="00E12BE7">
        <w:t xml:space="preserve"> (</w:t>
      </w:r>
      <w:r w:rsidR="000754A0">
        <w:t xml:space="preserve">π.χ. </w:t>
      </w:r>
      <w:r w:rsidR="00E12BE7">
        <w:t>αυτοδικία)</w:t>
      </w:r>
      <w:r>
        <w:t xml:space="preserve"> και αξίες </w:t>
      </w:r>
      <w:r w:rsidR="0046078F">
        <w:t>τους</w:t>
      </w:r>
      <w:r>
        <w:t xml:space="preserve"> εποχής</w:t>
      </w:r>
    </w:p>
    <w:p w14:paraId="4DFCF895" w14:textId="438537BC" w:rsidR="00B41B51" w:rsidRDefault="00B41B51" w:rsidP="00ED188E">
      <w:pPr>
        <w:pStyle w:val="a3"/>
        <w:numPr>
          <w:ilvl w:val="0"/>
          <w:numId w:val="2"/>
        </w:numPr>
      </w:pPr>
      <w:r>
        <w:t>να χωρίζουν χωρία σε μικρότερες ενότητες και να δίνουν σε αυτές πλαγιότιτλους</w:t>
      </w:r>
    </w:p>
    <w:p w14:paraId="3CEB6142" w14:textId="5DBB08B8" w:rsidR="00B41B51" w:rsidRDefault="00B41B51" w:rsidP="00ED188E">
      <w:pPr>
        <w:pStyle w:val="a3"/>
        <w:numPr>
          <w:ilvl w:val="0"/>
          <w:numId w:val="2"/>
        </w:numPr>
      </w:pPr>
      <w:r>
        <w:t xml:space="preserve">να αναγνωρίζουν </w:t>
      </w:r>
      <w:r w:rsidR="0046078F">
        <w:t>τους</w:t>
      </w:r>
      <w:r>
        <w:t xml:space="preserve"> αφηγηματικούς τρόπους του ποιητή : αφήγηση, μονόλογος, διάλογος, </w:t>
      </w:r>
      <w:r w:rsidR="0065768A">
        <w:t>σχόλιο</w:t>
      </w:r>
      <w:r w:rsidR="00370CA1">
        <w:t>, περ</w:t>
      </w:r>
      <w:r w:rsidR="00F60D70">
        <w:t>ι</w:t>
      </w:r>
      <w:r w:rsidR="00370CA1">
        <w:t>γραφή</w:t>
      </w:r>
      <w:r w:rsidR="0065768A">
        <w:t xml:space="preserve"> </w:t>
      </w:r>
      <w:r>
        <w:t xml:space="preserve">κλπ </w:t>
      </w:r>
    </w:p>
    <w:p w14:paraId="5ED50AEA" w14:textId="5DC5EC75" w:rsidR="00B41B51" w:rsidRDefault="00B41B51" w:rsidP="00ED188E">
      <w:pPr>
        <w:pStyle w:val="a3"/>
        <w:numPr>
          <w:ilvl w:val="0"/>
          <w:numId w:val="2"/>
        </w:numPr>
      </w:pPr>
      <w:r>
        <w:t>να αναλύουν εκτεταμένες παρομοιώσεις και να εντοπίζουν κι άλλα εκφραστικά μέσα</w:t>
      </w:r>
    </w:p>
    <w:p w14:paraId="78DFCBF3" w14:textId="5046580A" w:rsidR="00B41B51" w:rsidRDefault="00B41B51" w:rsidP="00ED188E">
      <w:pPr>
        <w:pStyle w:val="a3"/>
        <w:numPr>
          <w:ilvl w:val="0"/>
          <w:numId w:val="2"/>
        </w:numPr>
      </w:pPr>
      <w:r>
        <w:t>να εντοπίζουν τυπικά επίθετα και τυπικές φράσεις</w:t>
      </w:r>
    </w:p>
    <w:p w14:paraId="2BA776FC" w14:textId="216843AA" w:rsidR="00B41B51" w:rsidRDefault="00B41B51" w:rsidP="00ED188E">
      <w:pPr>
        <w:pStyle w:val="a3"/>
        <w:numPr>
          <w:ilvl w:val="0"/>
          <w:numId w:val="2"/>
        </w:numPr>
      </w:pPr>
      <w:r>
        <w:t xml:space="preserve">να αναγνωρίζουν τεχνικές του ποιητή </w:t>
      </w:r>
      <w:r w:rsidR="0046078F">
        <w:t>τους</w:t>
      </w:r>
      <w:r>
        <w:t xml:space="preserve"> : επική ειρωνεία, προοικονομία, επιτάχυνση, επιβράδυνση</w:t>
      </w:r>
    </w:p>
    <w:p w14:paraId="690B557F" w14:textId="587F0F38" w:rsidR="0065768A" w:rsidRDefault="0065768A" w:rsidP="00ED188E">
      <w:pPr>
        <w:pStyle w:val="a3"/>
        <w:numPr>
          <w:ilvl w:val="0"/>
          <w:numId w:val="2"/>
        </w:numPr>
      </w:pPr>
      <w:r>
        <w:t xml:space="preserve">να διακρίνουν </w:t>
      </w:r>
      <w:r w:rsidR="0046078F">
        <w:t>τους</w:t>
      </w:r>
      <w:r>
        <w:t xml:space="preserve"> ανθρωπομορφισμούς, τη θεϊκή επιφάνεια και την ενανθρώπιση</w:t>
      </w:r>
    </w:p>
    <w:p w14:paraId="2CCE620C" w14:textId="6DAB5F62" w:rsidR="00B41B51" w:rsidRDefault="00B41B51" w:rsidP="00ED188E">
      <w:pPr>
        <w:pStyle w:val="a3"/>
        <w:numPr>
          <w:ilvl w:val="0"/>
          <w:numId w:val="2"/>
        </w:numPr>
      </w:pPr>
      <w:r>
        <w:t xml:space="preserve">να παρουσιάζουν το τυπικό </w:t>
      </w:r>
      <w:r w:rsidR="0046078F">
        <w:t>τ</w:t>
      </w:r>
      <w:r w:rsidR="000754A0">
        <w:t>η</w:t>
      </w:r>
      <w:r w:rsidR="0046078F">
        <w:t>ς</w:t>
      </w:r>
      <w:r>
        <w:t xml:space="preserve"> αναγνώρισης προσώπων στο ομηρικό έργο</w:t>
      </w:r>
    </w:p>
    <w:p w14:paraId="2EA1A1EC" w14:textId="2D6407BD" w:rsidR="00B41B51" w:rsidRDefault="00B41B51" w:rsidP="00ED188E">
      <w:pPr>
        <w:pStyle w:val="a3"/>
        <w:numPr>
          <w:ilvl w:val="0"/>
          <w:numId w:val="2"/>
        </w:numPr>
      </w:pPr>
      <w:r>
        <w:t>να εντοπίζουν πληροφορίες του ποιητή για στοιχεία υλικού ή πνευματικού πολιτισμού</w:t>
      </w:r>
    </w:p>
    <w:p w14:paraId="466C338F" w14:textId="50DE6F43" w:rsidR="00B41B51" w:rsidRDefault="00B41B51" w:rsidP="00ED188E">
      <w:pPr>
        <w:pStyle w:val="a3"/>
        <w:numPr>
          <w:ilvl w:val="0"/>
          <w:numId w:val="2"/>
        </w:numPr>
      </w:pPr>
      <w:r>
        <w:t xml:space="preserve">να παρουσιάζουν θεσμούς </w:t>
      </w:r>
      <w:r w:rsidR="0046078F">
        <w:t>τους</w:t>
      </w:r>
      <w:r>
        <w:t xml:space="preserve"> εποχής του ποιητή ή των ηρώων και να προβάλλουν το τυπικό </w:t>
      </w:r>
      <w:r w:rsidR="0046078F">
        <w:t>τους</w:t>
      </w:r>
      <w:r>
        <w:t xml:space="preserve"> (φιλοξενία, ικεσία, μνηστεία, κλπ)</w:t>
      </w:r>
    </w:p>
    <w:p w14:paraId="6371788B" w14:textId="77777777" w:rsidR="00D73ACD" w:rsidRDefault="00D73ACD"/>
    <w:p w14:paraId="5DD9B5DB" w14:textId="7A89C1A5" w:rsidR="00180C9F" w:rsidRPr="003E69A7" w:rsidRDefault="00180C9F" w:rsidP="00ED188E">
      <w:pPr>
        <w:rPr>
          <w:b/>
          <w:bCs/>
        </w:rPr>
      </w:pPr>
    </w:p>
    <w:p w14:paraId="15DB5264" w14:textId="56CE9959" w:rsidR="00180C9F" w:rsidRPr="003E69A7" w:rsidRDefault="0046078F" w:rsidP="0046078F">
      <w:pPr>
        <w:jc w:val="center"/>
        <w:rPr>
          <w:b/>
          <w:bCs/>
          <w:i/>
          <w:iCs/>
        </w:rPr>
      </w:pPr>
      <w:r w:rsidRPr="003E69A7">
        <w:rPr>
          <w:b/>
          <w:bCs/>
          <w:i/>
          <w:iCs/>
        </w:rPr>
        <w:t xml:space="preserve">Λαγονήσι,    </w:t>
      </w:r>
      <w:r w:rsidR="000754A0">
        <w:rPr>
          <w:b/>
          <w:bCs/>
          <w:i/>
          <w:iCs/>
        </w:rPr>
        <w:t>2</w:t>
      </w:r>
      <w:r w:rsidR="00FC0697">
        <w:rPr>
          <w:b/>
          <w:bCs/>
          <w:i/>
          <w:iCs/>
        </w:rPr>
        <w:t>4</w:t>
      </w:r>
      <w:r w:rsidRPr="003E69A7">
        <w:rPr>
          <w:b/>
          <w:bCs/>
          <w:i/>
          <w:iCs/>
        </w:rPr>
        <w:t>/05/2023</w:t>
      </w:r>
    </w:p>
    <w:p w14:paraId="0560B3F8" w14:textId="77777777" w:rsidR="0046078F" w:rsidRPr="003E69A7" w:rsidRDefault="0046078F" w:rsidP="0046078F">
      <w:pPr>
        <w:jc w:val="center"/>
        <w:rPr>
          <w:b/>
          <w:bCs/>
        </w:rPr>
      </w:pPr>
    </w:p>
    <w:p w14:paraId="0A75657E" w14:textId="252719C0" w:rsidR="0046078F" w:rsidRPr="003E69A7" w:rsidRDefault="0046078F" w:rsidP="0046078F">
      <w:pPr>
        <w:rPr>
          <w:b/>
          <w:bCs/>
        </w:rPr>
      </w:pPr>
      <w:r w:rsidRPr="003E69A7">
        <w:rPr>
          <w:b/>
          <w:bCs/>
        </w:rPr>
        <w:t>Η ΔΙΕΥΘΥΝΤΡΙΑ                                                                                                               Η ΔΙΔΑΣΚΟΥΣΑ</w:t>
      </w:r>
    </w:p>
    <w:p w14:paraId="5338423D" w14:textId="77777777" w:rsidR="0046078F" w:rsidRPr="003E69A7" w:rsidRDefault="0046078F" w:rsidP="0046078F">
      <w:pPr>
        <w:rPr>
          <w:b/>
          <w:bCs/>
        </w:rPr>
      </w:pPr>
    </w:p>
    <w:p w14:paraId="5558D603" w14:textId="77777777" w:rsidR="0046078F" w:rsidRPr="003E69A7" w:rsidRDefault="0046078F" w:rsidP="0046078F">
      <w:pPr>
        <w:rPr>
          <w:b/>
          <w:bCs/>
        </w:rPr>
      </w:pPr>
    </w:p>
    <w:p w14:paraId="2ED6B26C" w14:textId="1903E106" w:rsidR="0046078F" w:rsidRPr="003E69A7" w:rsidRDefault="0046078F" w:rsidP="0046078F">
      <w:pPr>
        <w:rPr>
          <w:b/>
          <w:bCs/>
        </w:rPr>
      </w:pPr>
      <w:r w:rsidRPr="003E69A7">
        <w:rPr>
          <w:b/>
          <w:bCs/>
        </w:rPr>
        <w:t>ΕΥΑΓΓΕΛΙΑ ΓΕΩΡΓΟΥΛΗ                                                              ΕΥΑΓΓΕΛΙΑ ΜΠΟΡΜΠΑΝΤΩΝΑΚΗ</w:t>
      </w:r>
    </w:p>
    <w:sectPr w:rsidR="0046078F" w:rsidRPr="003E69A7" w:rsidSect="00A44A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2015"/>
    <w:multiLevelType w:val="hybridMultilevel"/>
    <w:tmpl w:val="9EF47D04"/>
    <w:lvl w:ilvl="0" w:tplc="C7CA4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2488E"/>
    <w:multiLevelType w:val="hybridMultilevel"/>
    <w:tmpl w:val="001453CA"/>
    <w:lvl w:ilvl="0" w:tplc="960CB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845553">
    <w:abstractNumId w:val="0"/>
  </w:num>
  <w:num w:numId="2" w16cid:durableId="103527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88"/>
    <w:rsid w:val="00020EA9"/>
    <w:rsid w:val="000754A0"/>
    <w:rsid w:val="00180C9F"/>
    <w:rsid w:val="00370CA1"/>
    <w:rsid w:val="003E69A7"/>
    <w:rsid w:val="0046078F"/>
    <w:rsid w:val="00480F27"/>
    <w:rsid w:val="0065768A"/>
    <w:rsid w:val="006E51C0"/>
    <w:rsid w:val="007C3457"/>
    <w:rsid w:val="009A2EB7"/>
    <w:rsid w:val="009F442B"/>
    <w:rsid w:val="00A44A0C"/>
    <w:rsid w:val="00B41B51"/>
    <w:rsid w:val="00BA7A2D"/>
    <w:rsid w:val="00CE3988"/>
    <w:rsid w:val="00D067E2"/>
    <w:rsid w:val="00D73ACD"/>
    <w:rsid w:val="00D83F2B"/>
    <w:rsid w:val="00E12BE7"/>
    <w:rsid w:val="00ED188E"/>
    <w:rsid w:val="00F60D70"/>
    <w:rsid w:val="00FC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5C53A"/>
  <w15:chartTrackingRefBased/>
  <w15:docId w15:val="{2BF93ADC-DD03-464C-8226-268995D3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A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399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Ευαγγελία Μπορμπαντωνάκη</dc:creator>
  <cp:keywords/>
  <dc:description/>
  <cp:lastModifiedBy>teacher2</cp:lastModifiedBy>
  <cp:revision>12</cp:revision>
  <cp:lastPrinted>2023-05-22T16:18:00Z</cp:lastPrinted>
  <dcterms:created xsi:type="dcterms:W3CDTF">2023-05-09T14:26:00Z</dcterms:created>
  <dcterms:modified xsi:type="dcterms:W3CDTF">2023-05-24T08:25:00Z</dcterms:modified>
</cp:coreProperties>
</file>